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44B" w:rsidRPr="00AA144B" w:rsidRDefault="00AA144B" w:rsidP="00AA144B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AA144B">
        <w:rPr>
          <w:rFonts w:ascii="標楷體" w:eastAsia="標楷體" w:hAnsi="標楷體" w:hint="eastAsia"/>
          <w:sz w:val="32"/>
          <w:szCs w:val="32"/>
        </w:rPr>
        <w:t>國立清華大學學士班跨領域學習要點</w:t>
      </w:r>
    </w:p>
    <w:p w:rsidR="00AA144B" w:rsidRPr="00AA144B" w:rsidRDefault="00AA144B" w:rsidP="00AA144B">
      <w:pPr>
        <w:pStyle w:val="Default"/>
        <w:ind w:right="257"/>
        <w:jc w:val="right"/>
        <w:rPr>
          <w:rFonts w:ascii="標楷體" w:eastAsia="標楷體" w:hAnsi="標楷體"/>
          <w:sz w:val="20"/>
          <w:szCs w:val="20"/>
        </w:rPr>
      </w:pPr>
      <w:r w:rsidRPr="00AA144B">
        <w:rPr>
          <w:rFonts w:ascii="標楷體" w:eastAsia="標楷體" w:hAnsi="標楷體" w:cs="Times New Roman"/>
          <w:sz w:val="20"/>
          <w:szCs w:val="20"/>
        </w:rPr>
        <w:t>105</w:t>
      </w:r>
      <w:r w:rsidRPr="00AA144B">
        <w:rPr>
          <w:rFonts w:ascii="標楷體" w:eastAsia="標楷體" w:hAnsi="標楷體" w:hint="eastAsia"/>
          <w:sz w:val="20"/>
          <w:szCs w:val="20"/>
        </w:rPr>
        <w:t>年</w:t>
      </w:r>
      <w:r w:rsidRPr="00AA144B">
        <w:rPr>
          <w:rFonts w:ascii="標楷體" w:eastAsia="標楷體" w:hAnsi="標楷體" w:cs="Times New Roman"/>
          <w:sz w:val="20"/>
          <w:szCs w:val="20"/>
        </w:rPr>
        <w:t>7</w:t>
      </w:r>
      <w:r w:rsidRPr="00AA144B">
        <w:rPr>
          <w:rFonts w:ascii="標楷體" w:eastAsia="標楷體" w:hAnsi="標楷體" w:hint="eastAsia"/>
          <w:sz w:val="20"/>
          <w:szCs w:val="20"/>
        </w:rPr>
        <w:t>月</w:t>
      </w:r>
      <w:r w:rsidRPr="00AA144B">
        <w:rPr>
          <w:rFonts w:ascii="標楷體" w:eastAsia="標楷體" w:hAnsi="標楷體" w:cs="Times New Roman"/>
          <w:sz w:val="20"/>
          <w:szCs w:val="20"/>
        </w:rPr>
        <w:t>6</w:t>
      </w:r>
      <w:r w:rsidRPr="00AA144B">
        <w:rPr>
          <w:rFonts w:ascii="標楷體" w:eastAsia="標楷體" w:hAnsi="標楷體" w:hint="eastAsia"/>
          <w:sz w:val="20"/>
          <w:szCs w:val="20"/>
        </w:rPr>
        <w:t>日</w:t>
      </w:r>
      <w:r w:rsidRPr="00AA144B">
        <w:rPr>
          <w:rFonts w:ascii="標楷體" w:eastAsia="標楷體" w:hAnsi="標楷體" w:cs="Times New Roman"/>
          <w:sz w:val="20"/>
          <w:szCs w:val="20"/>
        </w:rPr>
        <w:t>104</w:t>
      </w:r>
      <w:r w:rsidRPr="00AA144B">
        <w:rPr>
          <w:rFonts w:ascii="標楷體" w:eastAsia="標楷體" w:hAnsi="標楷體" w:hint="eastAsia"/>
          <w:sz w:val="20"/>
          <w:szCs w:val="20"/>
        </w:rPr>
        <w:t>學年度第</w:t>
      </w:r>
      <w:r w:rsidRPr="00AA144B">
        <w:rPr>
          <w:rFonts w:ascii="標楷體" w:eastAsia="標楷體" w:hAnsi="標楷體" w:cs="Times New Roman"/>
          <w:sz w:val="20"/>
          <w:szCs w:val="20"/>
        </w:rPr>
        <w:t>6</w:t>
      </w:r>
      <w:r w:rsidRPr="00AA144B">
        <w:rPr>
          <w:rFonts w:ascii="標楷體" w:eastAsia="標楷體" w:hAnsi="標楷體" w:hint="eastAsia"/>
          <w:sz w:val="20"/>
          <w:szCs w:val="20"/>
        </w:rPr>
        <w:t>次教務會議通過</w:t>
      </w:r>
    </w:p>
    <w:p w:rsidR="00AA144B" w:rsidRDefault="00AA144B" w:rsidP="00AA144B">
      <w:pPr>
        <w:pStyle w:val="Default"/>
        <w:ind w:right="257"/>
        <w:jc w:val="right"/>
        <w:rPr>
          <w:rFonts w:ascii="標楷體" w:eastAsia="標楷體" w:hAnsi="標楷體"/>
          <w:sz w:val="20"/>
          <w:szCs w:val="20"/>
        </w:rPr>
      </w:pPr>
      <w:r w:rsidRPr="00AA144B">
        <w:rPr>
          <w:rFonts w:ascii="標楷體" w:eastAsia="標楷體" w:hAnsi="標楷體" w:cs="Times New Roman"/>
          <w:sz w:val="20"/>
          <w:szCs w:val="20"/>
        </w:rPr>
        <w:t>105</w:t>
      </w:r>
      <w:r w:rsidRPr="00AA144B">
        <w:rPr>
          <w:rFonts w:ascii="標楷體" w:eastAsia="標楷體" w:hAnsi="標楷體" w:hint="eastAsia"/>
          <w:sz w:val="20"/>
          <w:szCs w:val="20"/>
        </w:rPr>
        <w:t>年</w:t>
      </w:r>
      <w:r w:rsidRPr="00AA144B">
        <w:rPr>
          <w:rFonts w:ascii="標楷體" w:eastAsia="標楷體" w:hAnsi="標楷體" w:cs="Times New Roman"/>
          <w:sz w:val="20"/>
          <w:szCs w:val="20"/>
        </w:rPr>
        <w:t>7</w:t>
      </w:r>
      <w:r w:rsidRPr="00AA144B">
        <w:rPr>
          <w:rFonts w:ascii="標楷體" w:eastAsia="標楷體" w:hAnsi="標楷體" w:hint="eastAsia"/>
          <w:sz w:val="20"/>
          <w:szCs w:val="20"/>
        </w:rPr>
        <w:t>月</w:t>
      </w:r>
      <w:r w:rsidRPr="00AA144B">
        <w:rPr>
          <w:rFonts w:ascii="標楷體" w:eastAsia="標楷體" w:hAnsi="標楷體" w:cs="Times New Roman"/>
          <w:sz w:val="20"/>
          <w:szCs w:val="20"/>
        </w:rPr>
        <w:t>15</w:t>
      </w:r>
      <w:r w:rsidRPr="00AA144B">
        <w:rPr>
          <w:rFonts w:ascii="標楷體" w:eastAsia="標楷體" w:hAnsi="標楷體" w:hint="eastAsia"/>
          <w:sz w:val="20"/>
          <w:szCs w:val="20"/>
        </w:rPr>
        <w:t>日校長核定</w:t>
      </w:r>
    </w:p>
    <w:p w:rsidR="00AA144B" w:rsidRDefault="000E17C1" w:rsidP="00AA144B">
      <w:pPr>
        <w:pStyle w:val="Default"/>
        <w:ind w:right="257"/>
        <w:jc w:val="right"/>
        <w:rPr>
          <w:rFonts w:ascii="標楷體" w:eastAsia="標楷體" w:hAnsi="標楷體"/>
          <w:sz w:val="20"/>
          <w:szCs w:val="20"/>
          <w:lang w:eastAsia="zh-HK"/>
        </w:rPr>
      </w:pPr>
      <w:r>
        <w:rPr>
          <w:rFonts w:ascii="標楷體" w:eastAsia="標楷體" w:hAnsi="標楷體" w:cs="Times New Roman" w:hint="eastAsia"/>
          <w:sz w:val="20"/>
          <w:szCs w:val="20"/>
        </w:rPr>
        <w:t>1</w:t>
      </w:r>
      <w:r>
        <w:rPr>
          <w:rFonts w:ascii="標楷體" w:eastAsia="標楷體" w:hAnsi="標楷體" w:cs="Times New Roman"/>
          <w:sz w:val="20"/>
          <w:szCs w:val="20"/>
        </w:rPr>
        <w:t>09</w:t>
      </w:r>
      <w:r w:rsidR="00AA144B" w:rsidRPr="00AA144B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sz w:val="20"/>
          <w:szCs w:val="20"/>
        </w:rPr>
        <w:t>6</w:t>
      </w:r>
      <w:r w:rsidR="00AA144B" w:rsidRPr="00AA144B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sz w:val="20"/>
          <w:szCs w:val="20"/>
        </w:rPr>
        <w:t>1</w:t>
      </w:r>
      <w:r>
        <w:rPr>
          <w:rFonts w:ascii="標楷體" w:eastAsia="標楷體" w:hAnsi="標楷體" w:cs="Times New Roman"/>
          <w:sz w:val="20"/>
          <w:szCs w:val="20"/>
        </w:rPr>
        <w:t>8</w:t>
      </w:r>
      <w:r w:rsidR="00AA144B" w:rsidRPr="00AA144B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cs="Times New Roman" w:hint="eastAsia"/>
          <w:sz w:val="20"/>
          <w:szCs w:val="20"/>
        </w:rPr>
        <w:t>1</w:t>
      </w:r>
      <w:r>
        <w:rPr>
          <w:rFonts w:ascii="標楷體" w:eastAsia="標楷體" w:hAnsi="標楷體" w:cs="Times New Roman"/>
          <w:sz w:val="20"/>
          <w:szCs w:val="20"/>
        </w:rPr>
        <w:t>08</w:t>
      </w:r>
      <w:r w:rsidR="00AA144B" w:rsidRPr="00AA144B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cs="Times New Roman" w:hint="eastAsia"/>
          <w:sz w:val="20"/>
          <w:szCs w:val="20"/>
        </w:rPr>
        <w:t>4</w:t>
      </w:r>
      <w:r w:rsidR="00AA144B" w:rsidRPr="00AA144B">
        <w:rPr>
          <w:rFonts w:ascii="標楷體" w:eastAsia="標楷體" w:hAnsi="標楷體" w:hint="eastAsia"/>
          <w:sz w:val="20"/>
          <w:szCs w:val="20"/>
        </w:rPr>
        <w:t>次教務會議</w:t>
      </w:r>
      <w:r w:rsidR="002224A9">
        <w:rPr>
          <w:rFonts w:ascii="標楷體" w:eastAsia="標楷體" w:hAnsi="標楷體" w:hint="eastAsia"/>
          <w:sz w:val="20"/>
          <w:szCs w:val="20"/>
          <w:lang w:eastAsia="zh-HK"/>
        </w:rPr>
        <w:t>修正第</w:t>
      </w:r>
      <w:r w:rsidR="002224A9">
        <w:rPr>
          <w:rFonts w:ascii="標楷體" w:eastAsia="標楷體" w:hAnsi="標楷體" w:hint="eastAsia"/>
          <w:sz w:val="20"/>
          <w:szCs w:val="20"/>
        </w:rPr>
        <w:t>4</w:t>
      </w:r>
      <w:r w:rsidR="002224A9">
        <w:rPr>
          <w:rFonts w:ascii="標楷體" w:eastAsia="標楷體" w:hAnsi="標楷體" w:hint="eastAsia"/>
          <w:sz w:val="20"/>
          <w:szCs w:val="20"/>
          <w:lang w:eastAsia="zh-HK"/>
        </w:rPr>
        <w:t>點</w:t>
      </w:r>
    </w:p>
    <w:p w:rsidR="008A4303" w:rsidRDefault="008A4303" w:rsidP="00AA144B">
      <w:pPr>
        <w:pStyle w:val="Default"/>
        <w:ind w:right="257"/>
        <w:jc w:val="right"/>
        <w:rPr>
          <w:rFonts w:ascii="標楷體" w:eastAsia="標楷體" w:hAnsi="標楷體"/>
          <w:sz w:val="20"/>
          <w:szCs w:val="20"/>
          <w:lang w:eastAsia="zh-HK"/>
        </w:rPr>
      </w:pPr>
      <w:r>
        <w:rPr>
          <w:rFonts w:ascii="標楷體" w:eastAsia="標楷體" w:hAnsi="標楷體"/>
          <w:sz w:val="20"/>
          <w:szCs w:val="20"/>
          <w:lang w:eastAsia="zh-HK"/>
        </w:rPr>
        <w:t>109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年</w:t>
      </w:r>
      <w:r>
        <w:rPr>
          <w:rFonts w:ascii="標楷體" w:eastAsia="標楷體" w:hAnsi="標楷體" w:hint="eastAsia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月</w:t>
      </w:r>
      <w:r>
        <w:rPr>
          <w:rFonts w:ascii="標楷體" w:eastAsia="標楷體" w:hAnsi="標楷體" w:hint="eastAsia"/>
          <w:sz w:val="20"/>
          <w:szCs w:val="20"/>
        </w:rPr>
        <w:t>29</w:t>
      </w:r>
      <w:r>
        <w:rPr>
          <w:rFonts w:ascii="標楷體" w:eastAsia="標楷體" w:hAnsi="標楷體" w:hint="eastAsia"/>
          <w:sz w:val="20"/>
          <w:szCs w:val="20"/>
          <w:lang w:eastAsia="zh-HK"/>
        </w:rPr>
        <w:t>日校長核定</w:t>
      </w:r>
    </w:p>
    <w:p w:rsidR="004C248E" w:rsidRPr="004C248E" w:rsidRDefault="004C248E" w:rsidP="00AA144B">
      <w:pPr>
        <w:pStyle w:val="Default"/>
        <w:ind w:right="257"/>
        <w:jc w:val="right"/>
        <w:rPr>
          <w:rFonts w:ascii="標楷體" w:eastAsia="標楷體" w:hAnsi="標楷體"/>
          <w:sz w:val="20"/>
          <w:szCs w:val="20"/>
          <w:lang w:eastAsia="zh-HK"/>
        </w:rPr>
      </w:pPr>
      <w:r w:rsidRPr="004C248E">
        <w:rPr>
          <w:rFonts w:ascii="標楷體" w:eastAsia="標楷體" w:hAnsi="標楷體" w:hint="eastAsia"/>
          <w:sz w:val="20"/>
          <w:szCs w:val="20"/>
          <w:lang w:eastAsia="zh-HK"/>
        </w:rPr>
        <w:t>109年</w:t>
      </w:r>
      <w:r w:rsidR="00633E09">
        <w:rPr>
          <w:rFonts w:ascii="標楷體" w:eastAsia="標楷體" w:hAnsi="標楷體" w:hint="eastAsia"/>
          <w:sz w:val="20"/>
          <w:szCs w:val="20"/>
        </w:rPr>
        <w:t>1</w:t>
      </w:r>
      <w:r w:rsidR="00633E09">
        <w:rPr>
          <w:rFonts w:ascii="標楷體" w:eastAsia="標楷體" w:hAnsi="標楷體"/>
          <w:sz w:val="20"/>
          <w:szCs w:val="20"/>
        </w:rPr>
        <w:t>0</w:t>
      </w:r>
      <w:r w:rsidRPr="004C248E">
        <w:rPr>
          <w:rFonts w:ascii="標楷體" w:eastAsia="標楷體" w:hAnsi="標楷體" w:hint="eastAsia"/>
          <w:sz w:val="20"/>
          <w:szCs w:val="20"/>
          <w:lang w:eastAsia="zh-HK"/>
        </w:rPr>
        <w:t>月</w:t>
      </w:r>
      <w:r w:rsidR="00633E09">
        <w:rPr>
          <w:rFonts w:ascii="標楷體" w:eastAsia="標楷體" w:hAnsi="標楷體" w:hint="eastAsia"/>
          <w:sz w:val="20"/>
          <w:szCs w:val="20"/>
        </w:rPr>
        <w:t>2</w:t>
      </w:r>
      <w:r w:rsidR="00633E09">
        <w:rPr>
          <w:rFonts w:ascii="標楷體" w:eastAsia="標楷體" w:hAnsi="標楷體"/>
          <w:sz w:val="20"/>
          <w:szCs w:val="20"/>
        </w:rPr>
        <w:t>2</w:t>
      </w:r>
      <w:r w:rsidRPr="004C248E">
        <w:rPr>
          <w:rFonts w:ascii="標楷體" w:eastAsia="標楷體" w:hAnsi="標楷體" w:hint="eastAsia"/>
          <w:sz w:val="20"/>
          <w:szCs w:val="20"/>
          <w:lang w:eastAsia="zh-HK"/>
        </w:rPr>
        <w:t>日</w:t>
      </w:r>
      <w:r w:rsidR="00CB4AEE">
        <w:rPr>
          <w:rFonts w:ascii="標楷體" w:eastAsia="標楷體" w:hAnsi="標楷體" w:hint="eastAsia"/>
          <w:sz w:val="20"/>
          <w:szCs w:val="20"/>
        </w:rPr>
        <w:t>109</w:t>
      </w:r>
      <w:r w:rsidRPr="004C248E">
        <w:rPr>
          <w:rFonts w:ascii="標楷體" w:eastAsia="標楷體" w:hAnsi="標楷體" w:hint="eastAsia"/>
          <w:sz w:val="20"/>
          <w:szCs w:val="20"/>
          <w:lang w:eastAsia="zh-HK"/>
        </w:rPr>
        <w:t>學年度第</w:t>
      </w:r>
      <w:r w:rsidR="00633E09">
        <w:rPr>
          <w:rFonts w:ascii="標楷體" w:eastAsia="標楷體" w:hAnsi="標楷體" w:hint="eastAsia"/>
          <w:sz w:val="20"/>
          <w:szCs w:val="20"/>
        </w:rPr>
        <w:t>1</w:t>
      </w:r>
      <w:r w:rsidRPr="004C248E">
        <w:rPr>
          <w:rFonts w:ascii="標楷體" w:eastAsia="標楷體" w:hAnsi="標楷體" w:hint="eastAsia"/>
          <w:sz w:val="20"/>
          <w:szCs w:val="20"/>
          <w:lang w:eastAsia="zh-HK"/>
        </w:rPr>
        <w:t>次教務會議修正第</w:t>
      </w:r>
      <w:r w:rsidR="00633E09">
        <w:rPr>
          <w:rFonts w:ascii="標楷體" w:eastAsia="標楷體" w:hAnsi="標楷體" w:hint="eastAsia"/>
          <w:sz w:val="20"/>
          <w:szCs w:val="20"/>
        </w:rPr>
        <w:t>3</w:t>
      </w:r>
      <w:r w:rsidRPr="004C248E">
        <w:rPr>
          <w:rFonts w:ascii="標楷體" w:eastAsia="標楷體" w:hAnsi="標楷體" w:hint="eastAsia"/>
          <w:sz w:val="20"/>
          <w:szCs w:val="20"/>
          <w:lang w:eastAsia="zh-HK"/>
        </w:rPr>
        <w:t>點</w:t>
      </w:r>
    </w:p>
    <w:p w:rsidR="00AA144B" w:rsidRPr="000E17C1" w:rsidRDefault="00633E09" w:rsidP="00AA144B">
      <w:pPr>
        <w:pStyle w:val="Default"/>
        <w:ind w:right="257"/>
        <w:jc w:val="right"/>
        <w:rPr>
          <w:rFonts w:ascii="標楷體" w:eastAsia="標楷體" w:hAnsi="標楷體"/>
          <w:sz w:val="20"/>
          <w:szCs w:val="20"/>
        </w:rPr>
      </w:pPr>
      <w:r w:rsidRPr="00633E09">
        <w:rPr>
          <w:rFonts w:ascii="標楷體" w:eastAsia="標楷體" w:hAnsi="標楷體" w:hint="eastAsia"/>
          <w:sz w:val="20"/>
          <w:szCs w:val="20"/>
        </w:rPr>
        <w:t>109年</w:t>
      </w:r>
      <w:r w:rsidR="006A29CE">
        <w:rPr>
          <w:rFonts w:ascii="標楷體" w:eastAsia="標楷體" w:hAnsi="標楷體" w:hint="eastAsia"/>
          <w:sz w:val="20"/>
          <w:szCs w:val="20"/>
        </w:rPr>
        <w:t>11</w:t>
      </w:r>
      <w:r w:rsidRPr="00633E09">
        <w:rPr>
          <w:rFonts w:ascii="標楷體" w:eastAsia="標楷體" w:hAnsi="標楷體" w:hint="eastAsia"/>
          <w:sz w:val="20"/>
          <w:szCs w:val="20"/>
        </w:rPr>
        <w:t>月</w:t>
      </w:r>
      <w:r w:rsidR="006A29CE">
        <w:rPr>
          <w:rFonts w:ascii="標楷體" w:eastAsia="標楷體" w:hAnsi="標楷體" w:hint="eastAsia"/>
          <w:sz w:val="20"/>
          <w:szCs w:val="20"/>
        </w:rPr>
        <w:t>3</w:t>
      </w:r>
      <w:r w:rsidRPr="00633E09">
        <w:rPr>
          <w:rFonts w:ascii="標楷體" w:eastAsia="標楷體" w:hAnsi="標楷體" w:hint="eastAsia"/>
          <w:sz w:val="20"/>
          <w:szCs w:val="20"/>
        </w:rPr>
        <w:t>日校長核定</w:t>
      </w:r>
    </w:p>
    <w:p w:rsidR="00AA144B" w:rsidRPr="00AA144B" w:rsidRDefault="00AA144B" w:rsidP="00AA144B">
      <w:pPr>
        <w:pStyle w:val="Default"/>
        <w:spacing w:after="90"/>
        <w:ind w:left="522" w:hanging="523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一、為鼓勵自主學習，提供學生更多的修課彈性與跨領域學習機會，特訂定本要點。</w:t>
      </w:r>
      <w:r w:rsidRPr="00AA144B">
        <w:rPr>
          <w:rFonts w:ascii="標楷體" w:eastAsia="標楷體" w:hAnsi="標楷體"/>
          <w:sz w:val="23"/>
          <w:szCs w:val="23"/>
        </w:rPr>
        <w:t xml:space="preserve"> </w:t>
      </w:r>
    </w:p>
    <w:p w:rsidR="00AA144B" w:rsidRPr="00AA144B" w:rsidRDefault="00AA144B" w:rsidP="00AA144B">
      <w:pPr>
        <w:pStyle w:val="Default"/>
        <w:spacing w:after="90"/>
        <w:ind w:left="503" w:hanging="504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二、本校學士班學生擬申請或更改跨領域學習，應於入學後第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學期起至第</w:t>
      </w:r>
      <w:r w:rsidRPr="00AA144B">
        <w:rPr>
          <w:rFonts w:ascii="標楷體" w:eastAsia="標楷體" w:hAnsi="標楷體" w:cs="Times New Roman"/>
          <w:sz w:val="23"/>
          <w:szCs w:val="23"/>
        </w:rPr>
        <w:t>4</w:t>
      </w:r>
      <w:r w:rsidRPr="00AA144B">
        <w:rPr>
          <w:rFonts w:ascii="標楷體" w:eastAsia="標楷體" w:hAnsi="標楷體" w:hint="eastAsia"/>
          <w:sz w:val="23"/>
          <w:szCs w:val="23"/>
        </w:rPr>
        <w:t>學年第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學期加退選截止日前，填寫申請表經所屬學系</w:t>
      </w:r>
      <w:r w:rsidRPr="00AA144B">
        <w:rPr>
          <w:rFonts w:ascii="標楷體" w:eastAsia="標楷體" w:hAnsi="標楷體" w:cs="Times New Roman"/>
          <w:sz w:val="23"/>
          <w:szCs w:val="23"/>
        </w:rPr>
        <w:t>(</w:t>
      </w:r>
      <w:r w:rsidRPr="00AA144B">
        <w:rPr>
          <w:rFonts w:ascii="標楷體" w:eastAsia="標楷體" w:hAnsi="標楷體" w:hint="eastAsia"/>
          <w:sz w:val="23"/>
          <w:szCs w:val="23"/>
        </w:rPr>
        <w:t>組</w:t>
      </w:r>
      <w:r w:rsidRPr="00AA144B">
        <w:rPr>
          <w:rFonts w:ascii="標楷體" w:eastAsia="標楷體" w:hAnsi="標楷體" w:cs="Times New Roman"/>
          <w:sz w:val="23"/>
          <w:szCs w:val="23"/>
        </w:rPr>
        <w:t>)</w:t>
      </w:r>
      <w:r w:rsidRPr="00AA144B">
        <w:rPr>
          <w:rFonts w:ascii="標楷體" w:eastAsia="標楷體" w:hAnsi="標楷體" w:hint="eastAsia"/>
          <w:sz w:val="23"/>
          <w:szCs w:val="23"/>
        </w:rPr>
        <w:t>、學位學程主管輔導簽章後向清華學院學士班申請，如有情況特殊者，學生得檢具說明送請教務長審核，逾期不予受理。</w:t>
      </w:r>
    </w:p>
    <w:p w:rsidR="00AA144B" w:rsidRPr="00AA144B" w:rsidRDefault="00AA144B" w:rsidP="00CB4AEE">
      <w:pPr>
        <w:pStyle w:val="Default"/>
        <w:spacing w:after="90"/>
        <w:ind w:left="503" w:hanging="504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三、申請跨領域學習之學生</w:t>
      </w:r>
      <w:r w:rsidR="00CB4AEE" w:rsidRPr="00CB4AEE">
        <w:rPr>
          <w:rFonts w:ascii="標楷體" w:eastAsia="標楷體" w:hAnsi="標楷體" w:hint="eastAsia"/>
          <w:sz w:val="23"/>
          <w:szCs w:val="23"/>
          <w:u w:val="single"/>
        </w:rPr>
        <w:t>(不含院學士班學生)</w:t>
      </w:r>
      <w:r w:rsidRPr="00AA144B">
        <w:rPr>
          <w:rFonts w:ascii="標楷體" w:eastAsia="標楷體" w:hAnsi="標楷體" w:hint="eastAsia"/>
          <w:sz w:val="23"/>
          <w:szCs w:val="23"/>
        </w:rPr>
        <w:t>，可就以下任一種課程組合提出申請：</w:t>
      </w:r>
      <w:r w:rsidRPr="00AA144B">
        <w:rPr>
          <w:rFonts w:ascii="標楷體" w:eastAsia="標楷體" w:hAnsi="標楷體"/>
          <w:sz w:val="23"/>
          <w:szCs w:val="23"/>
        </w:rPr>
        <w:t xml:space="preserve"> </w:t>
      </w:r>
    </w:p>
    <w:p w:rsidR="00AA144B" w:rsidRPr="00AA144B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（一）所屬學系之第一專長學程及另加</w:t>
      </w:r>
      <w:r w:rsidRPr="00AA144B">
        <w:rPr>
          <w:rFonts w:ascii="標楷體" w:eastAsia="標楷體" w:hAnsi="標楷體" w:cs="Times New Roman"/>
          <w:sz w:val="23"/>
          <w:szCs w:val="23"/>
        </w:rPr>
        <w:t>1</w:t>
      </w:r>
      <w:r w:rsidRPr="00AA144B">
        <w:rPr>
          <w:rFonts w:ascii="標楷體" w:eastAsia="標楷體" w:hAnsi="標楷體" w:hint="eastAsia"/>
          <w:sz w:val="23"/>
          <w:szCs w:val="23"/>
        </w:rPr>
        <w:t>個非所屬學系之第二專長學程。</w:t>
      </w:r>
    </w:p>
    <w:p w:rsidR="00AA144B" w:rsidRPr="00AA144B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（二）所屬學系之第一專長學程及另加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個非所屬學系之學分學程。</w:t>
      </w:r>
    </w:p>
    <w:p w:rsidR="00AA144B" w:rsidRPr="00AA144B" w:rsidRDefault="00AA144B" w:rsidP="00AA144B">
      <w:pPr>
        <w:pStyle w:val="Default"/>
        <w:spacing w:after="90"/>
        <w:ind w:left="1200" w:hanging="720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（三）</w:t>
      </w:r>
      <w:r w:rsidRPr="00AA144B">
        <w:rPr>
          <w:rFonts w:ascii="標楷體" w:eastAsia="標楷體" w:hAnsi="標楷體"/>
          <w:sz w:val="23"/>
          <w:szCs w:val="23"/>
        </w:rPr>
        <w:t xml:space="preserve"> </w:t>
      </w:r>
      <w:r w:rsidRPr="00AA144B">
        <w:rPr>
          <w:rFonts w:ascii="標楷體" w:eastAsia="標楷體" w:hAnsi="標楷體" w:hint="eastAsia"/>
          <w:sz w:val="23"/>
          <w:szCs w:val="23"/>
        </w:rPr>
        <w:t>所屬學系之第一專長學程及所屬學系認可之高階專業課程</w:t>
      </w:r>
      <w:r w:rsidRPr="00AA144B">
        <w:rPr>
          <w:rFonts w:ascii="標楷體" w:eastAsia="標楷體" w:hAnsi="標楷體" w:cs="Times New Roman"/>
          <w:sz w:val="23"/>
          <w:szCs w:val="23"/>
        </w:rPr>
        <w:t>15</w:t>
      </w:r>
      <w:r w:rsidRPr="00AA144B">
        <w:rPr>
          <w:rFonts w:ascii="標楷體" w:eastAsia="標楷體" w:hAnsi="標楷體" w:hint="eastAsia"/>
          <w:sz w:val="23"/>
          <w:szCs w:val="23"/>
        </w:rPr>
        <w:t>學分並另加</w:t>
      </w:r>
      <w:r w:rsidRPr="00AA144B">
        <w:rPr>
          <w:rFonts w:ascii="標楷體" w:eastAsia="標楷體" w:hAnsi="標楷體" w:cs="Times New Roman"/>
          <w:sz w:val="23"/>
          <w:szCs w:val="23"/>
        </w:rPr>
        <w:t>1</w:t>
      </w:r>
      <w:r w:rsidRPr="00AA144B">
        <w:rPr>
          <w:rFonts w:ascii="標楷體" w:eastAsia="標楷體" w:hAnsi="標楷體" w:hint="eastAsia"/>
          <w:sz w:val="23"/>
          <w:szCs w:val="23"/>
        </w:rPr>
        <w:t>個非所屬學系之學分學程。</w:t>
      </w:r>
    </w:p>
    <w:p w:rsidR="00CB4AEE" w:rsidRDefault="00CB4AEE" w:rsidP="00AA144B">
      <w:pPr>
        <w:pStyle w:val="Default"/>
        <w:spacing w:after="90"/>
        <w:ind w:left="480" w:firstLine="12"/>
        <w:jc w:val="both"/>
        <w:rPr>
          <w:rFonts w:ascii="標楷體" w:eastAsia="標楷體" w:hAnsi="標楷體"/>
          <w:sz w:val="23"/>
          <w:szCs w:val="23"/>
        </w:rPr>
      </w:pPr>
      <w:r w:rsidRPr="00CB4AEE">
        <w:rPr>
          <w:rFonts w:ascii="標楷體" w:eastAsia="標楷體" w:hAnsi="標楷體"/>
          <w:sz w:val="23"/>
          <w:szCs w:val="23"/>
          <w:u w:val="single"/>
        </w:rPr>
        <w:t>院學士班學生申請</w:t>
      </w:r>
      <w:r w:rsidRPr="00CB4AEE">
        <w:rPr>
          <w:rFonts w:ascii="標楷體" w:eastAsia="標楷體" w:hAnsi="標楷體" w:hint="eastAsia"/>
          <w:sz w:val="23"/>
          <w:szCs w:val="23"/>
          <w:u w:val="single"/>
        </w:rPr>
        <w:t>跨領域學習時，只得就前項第二、三款課程組合提出申請。</w:t>
      </w:r>
    </w:p>
    <w:p w:rsidR="00AA144B" w:rsidRPr="00AA144B" w:rsidRDefault="00AA144B" w:rsidP="00AA144B">
      <w:pPr>
        <w:pStyle w:val="Default"/>
        <w:spacing w:after="90"/>
        <w:ind w:left="480" w:firstLine="12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所屬學系之高階專業課程科目申請及異動，學生應填寫申請表，列明擬修讀之科目課號、名稱、學分數經所屬系主任簽章，向清華學院學士班登記申請。</w:t>
      </w:r>
    </w:p>
    <w:p w:rsidR="00AA144B" w:rsidRPr="00AA144B" w:rsidRDefault="00AA144B" w:rsidP="00AA144B">
      <w:pPr>
        <w:pStyle w:val="Default"/>
        <w:spacing w:after="90"/>
        <w:ind w:left="492" w:hanging="12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為統整跨領域知識，修讀學生得自主選擇校內教師為指導教授，修習專題研究</w:t>
      </w:r>
      <w:r w:rsidRPr="00AA144B">
        <w:rPr>
          <w:rFonts w:ascii="標楷體" w:eastAsia="標楷體" w:hAnsi="標楷體" w:cs="Times New Roman"/>
          <w:sz w:val="23"/>
          <w:szCs w:val="23"/>
        </w:rPr>
        <w:t>1</w:t>
      </w:r>
      <w:r w:rsidRPr="00AA144B">
        <w:rPr>
          <w:rFonts w:ascii="標楷體" w:eastAsia="標楷體" w:hAnsi="標楷體" w:hint="eastAsia"/>
          <w:sz w:val="23"/>
          <w:szCs w:val="23"/>
        </w:rPr>
        <w:t>年。</w:t>
      </w:r>
    </w:p>
    <w:p w:rsidR="00AA144B" w:rsidRPr="00AA144B" w:rsidRDefault="00AA144B" w:rsidP="00AA144B">
      <w:pPr>
        <w:pStyle w:val="Default"/>
        <w:spacing w:before="180" w:after="90"/>
        <w:ind w:left="490" w:hanging="490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四、跨領域學習學生，畢業時需修足校定及第三點第</w:t>
      </w:r>
      <w:r w:rsidRPr="00AA144B">
        <w:rPr>
          <w:rFonts w:ascii="標楷體" w:eastAsia="標楷體" w:hAnsi="標楷體" w:cs="Times New Roman"/>
          <w:sz w:val="23"/>
          <w:szCs w:val="23"/>
        </w:rPr>
        <w:t>(</w:t>
      </w:r>
      <w:r w:rsidRPr="00AA144B">
        <w:rPr>
          <w:rFonts w:ascii="標楷體" w:eastAsia="標楷體" w:hAnsi="標楷體" w:hint="eastAsia"/>
          <w:sz w:val="23"/>
          <w:szCs w:val="23"/>
        </w:rPr>
        <w:t>一</w:t>
      </w:r>
      <w:r w:rsidRPr="00AA144B">
        <w:rPr>
          <w:rFonts w:ascii="標楷體" w:eastAsia="標楷體" w:hAnsi="標楷體" w:cs="Times New Roman"/>
          <w:sz w:val="23"/>
          <w:szCs w:val="23"/>
        </w:rPr>
        <w:t>)</w:t>
      </w:r>
      <w:r w:rsidRPr="00AA144B">
        <w:rPr>
          <w:rFonts w:ascii="標楷體" w:eastAsia="標楷體" w:hAnsi="標楷體" w:hint="eastAsia"/>
          <w:sz w:val="23"/>
          <w:szCs w:val="23"/>
        </w:rPr>
        <w:t>至第</w:t>
      </w:r>
      <w:r w:rsidRPr="00AA144B">
        <w:rPr>
          <w:rFonts w:ascii="標楷體" w:eastAsia="標楷體" w:hAnsi="標楷體" w:cs="Times New Roman"/>
          <w:sz w:val="23"/>
          <w:szCs w:val="23"/>
        </w:rPr>
        <w:t>(</w:t>
      </w:r>
      <w:r w:rsidRPr="00AA144B">
        <w:rPr>
          <w:rFonts w:ascii="標楷體" w:eastAsia="標楷體" w:hAnsi="標楷體" w:hint="eastAsia"/>
          <w:sz w:val="23"/>
          <w:szCs w:val="23"/>
        </w:rPr>
        <w:t>三</w:t>
      </w:r>
      <w:r w:rsidRPr="00AA144B">
        <w:rPr>
          <w:rFonts w:ascii="標楷體" w:eastAsia="標楷體" w:hAnsi="標楷體" w:cs="Times New Roman"/>
          <w:sz w:val="23"/>
          <w:szCs w:val="23"/>
        </w:rPr>
        <w:t>)</w:t>
      </w:r>
      <w:r w:rsidRPr="00AA144B">
        <w:rPr>
          <w:rFonts w:ascii="標楷體" w:eastAsia="標楷體" w:hAnsi="標楷體" w:hint="eastAsia"/>
          <w:sz w:val="23"/>
          <w:szCs w:val="23"/>
        </w:rPr>
        <w:t>款課程組合任</w:t>
      </w:r>
      <w:r w:rsidRPr="00AA144B">
        <w:rPr>
          <w:rFonts w:ascii="標楷體" w:eastAsia="標楷體" w:hAnsi="標楷體" w:cs="Times New Roman"/>
          <w:sz w:val="23"/>
          <w:szCs w:val="23"/>
        </w:rPr>
        <w:t>1</w:t>
      </w:r>
      <w:r w:rsidRPr="00AA144B">
        <w:rPr>
          <w:rFonts w:ascii="標楷體" w:eastAsia="標楷體" w:hAnsi="標楷體" w:hint="eastAsia"/>
          <w:sz w:val="23"/>
          <w:szCs w:val="23"/>
        </w:rPr>
        <w:t>種應修之科目與學分數，所修學分總數不得少於</w:t>
      </w:r>
      <w:r w:rsidRPr="00AA144B">
        <w:rPr>
          <w:rFonts w:ascii="標楷體" w:eastAsia="標楷體" w:hAnsi="標楷體" w:cs="Times New Roman"/>
          <w:sz w:val="23"/>
          <w:szCs w:val="23"/>
        </w:rPr>
        <w:t>128</w:t>
      </w:r>
      <w:r w:rsidRPr="00AA144B">
        <w:rPr>
          <w:rFonts w:ascii="標楷體" w:eastAsia="標楷體" w:hAnsi="標楷體" w:hint="eastAsia"/>
          <w:sz w:val="23"/>
          <w:szCs w:val="23"/>
        </w:rPr>
        <w:t>學分。</w:t>
      </w:r>
    </w:p>
    <w:p w:rsidR="00AA144B" w:rsidRPr="00AA144B" w:rsidRDefault="00AA144B" w:rsidP="00AA144B">
      <w:pPr>
        <w:pStyle w:val="Default"/>
        <w:spacing w:before="180" w:after="90"/>
        <w:ind w:left="490" w:hanging="490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五、跨領域學習學生，應及早規劃修課順序，其選課權與所屬學系學生身份相同無特殊優先；若放棄或未能修足應修科目及學分數時，應填寫放棄修讀申請表並向清華學院學士班申請；其已修及格之科目，由學生所屬學系認定得否採計為應修之畢業學分。</w:t>
      </w:r>
    </w:p>
    <w:p w:rsidR="00AA144B" w:rsidRPr="00AA144B" w:rsidRDefault="00AA144B" w:rsidP="00AA144B">
      <w:pPr>
        <w:pStyle w:val="Default"/>
        <w:spacing w:before="180" w:after="90"/>
        <w:ind w:left="477" w:hanging="478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六、跨領域學習學生，經延長修業年限</w:t>
      </w:r>
      <w:r w:rsidRPr="00AA144B">
        <w:rPr>
          <w:rFonts w:ascii="標楷體" w:eastAsia="標楷體" w:hAnsi="標楷體" w:cs="Times New Roman"/>
          <w:sz w:val="23"/>
          <w:szCs w:val="23"/>
        </w:rPr>
        <w:t>2</w:t>
      </w:r>
      <w:r w:rsidRPr="00AA144B">
        <w:rPr>
          <w:rFonts w:ascii="標楷體" w:eastAsia="標楷體" w:hAnsi="標楷體" w:hint="eastAsia"/>
          <w:sz w:val="23"/>
          <w:szCs w:val="23"/>
        </w:rPr>
        <w:t>年屆滿，不得申請延長修業年限，但法令另有規定者除外。</w:t>
      </w:r>
    </w:p>
    <w:p w:rsidR="00AA144B" w:rsidRPr="00AA144B" w:rsidRDefault="00AA144B" w:rsidP="00AA144B">
      <w:pPr>
        <w:pStyle w:val="Default"/>
        <w:spacing w:before="180" w:after="90"/>
        <w:ind w:left="437" w:hanging="438"/>
        <w:jc w:val="both"/>
        <w:rPr>
          <w:rFonts w:ascii="標楷體" w:eastAsia="標楷體" w:hAnsi="標楷體"/>
          <w:sz w:val="23"/>
          <w:szCs w:val="23"/>
        </w:rPr>
      </w:pPr>
      <w:r w:rsidRPr="00AA144B">
        <w:rPr>
          <w:rFonts w:ascii="標楷體" w:eastAsia="標楷體" w:hAnsi="標楷體" w:hint="eastAsia"/>
          <w:sz w:val="23"/>
          <w:szCs w:val="23"/>
        </w:rPr>
        <w:t>七、修讀跨領域學習學生畢業，發給學位證書，並依照學生所屬學院授予學士學位，另畢業名冊、學位證書、學位證明書、歷年成績表等，均登載專長或學分學程名</w:t>
      </w:r>
      <w:r w:rsidRPr="00AA144B">
        <w:rPr>
          <w:rFonts w:ascii="標楷體" w:eastAsia="標楷體" w:hAnsi="標楷體" w:hint="eastAsia"/>
          <w:sz w:val="23"/>
          <w:szCs w:val="23"/>
        </w:rPr>
        <w:lastRenderedPageBreak/>
        <w:t>稱。</w:t>
      </w:r>
    </w:p>
    <w:p w:rsidR="002E6489" w:rsidRPr="00AA144B" w:rsidRDefault="00AA144B" w:rsidP="00AA144B">
      <w:pPr>
        <w:rPr>
          <w:rFonts w:ascii="標楷體" w:eastAsia="標楷體" w:hAnsi="標楷體"/>
        </w:rPr>
      </w:pPr>
      <w:r w:rsidRPr="00AA144B">
        <w:rPr>
          <w:rFonts w:ascii="標楷體" w:eastAsia="標楷體" w:hAnsi="標楷體" w:hint="eastAsia"/>
          <w:sz w:val="23"/>
          <w:szCs w:val="23"/>
        </w:rPr>
        <w:t>八、本要點經教務會議通過送校長核定後實施。</w:t>
      </w:r>
    </w:p>
    <w:sectPr w:rsidR="002E6489" w:rsidRPr="00AA1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11" w:rsidRDefault="00FA7811" w:rsidP="004C248E">
      <w:r>
        <w:separator/>
      </w:r>
    </w:p>
  </w:endnote>
  <w:endnote w:type="continuationSeparator" w:id="0">
    <w:p w:rsidR="00FA7811" w:rsidRDefault="00FA7811" w:rsidP="004C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I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11" w:rsidRDefault="00FA7811" w:rsidP="004C248E">
      <w:r>
        <w:separator/>
      </w:r>
    </w:p>
  </w:footnote>
  <w:footnote w:type="continuationSeparator" w:id="0">
    <w:p w:rsidR="00FA7811" w:rsidRDefault="00FA7811" w:rsidP="004C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4B"/>
    <w:rsid w:val="000E17C1"/>
    <w:rsid w:val="002224A9"/>
    <w:rsid w:val="004C248E"/>
    <w:rsid w:val="00514C7F"/>
    <w:rsid w:val="00633E09"/>
    <w:rsid w:val="006A29CE"/>
    <w:rsid w:val="00836B31"/>
    <w:rsid w:val="008A4303"/>
    <w:rsid w:val="00AA144B"/>
    <w:rsid w:val="00AA3CAE"/>
    <w:rsid w:val="00BE6AAE"/>
    <w:rsid w:val="00CB4AEE"/>
    <w:rsid w:val="00DA450A"/>
    <w:rsid w:val="00E012E7"/>
    <w:rsid w:val="00F27F71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F69A6-3E01-4245-8B4F-66BA3CFF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44B"/>
    <w:pPr>
      <w:widowControl w:val="0"/>
      <w:autoSpaceDE w:val="0"/>
      <w:autoSpaceDN w:val="0"/>
      <w:adjustRightInd w:val="0"/>
    </w:pPr>
    <w:rPr>
      <w:rFonts w:ascii="標楷體I." w:eastAsia="標楷體I." w:cs="標楷體I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C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4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Registra</cp:lastModifiedBy>
  <cp:revision>2</cp:revision>
  <dcterms:created xsi:type="dcterms:W3CDTF">2020-11-05T08:39:00Z</dcterms:created>
  <dcterms:modified xsi:type="dcterms:W3CDTF">2020-11-05T08:39:00Z</dcterms:modified>
</cp:coreProperties>
</file>