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A144B">
        <w:rPr>
          <w:rFonts w:ascii="標楷體" w:eastAsia="標楷體" w:hAnsi="標楷體" w:hint="eastAsia"/>
          <w:sz w:val="32"/>
          <w:szCs w:val="32"/>
        </w:rPr>
        <w:t>國立清華大學</w:t>
      </w:r>
      <w:proofErr w:type="gramStart"/>
      <w:r w:rsidRPr="00AA144B">
        <w:rPr>
          <w:rFonts w:ascii="標楷體" w:eastAsia="標楷體" w:hAnsi="標楷體" w:hint="eastAsia"/>
          <w:sz w:val="32"/>
          <w:szCs w:val="32"/>
        </w:rPr>
        <w:t>學士班跨領域</w:t>
      </w:r>
      <w:proofErr w:type="gramEnd"/>
      <w:r w:rsidRPr="00AA144B">
        <w:rPr>
          <w:rFonts w:ascii="標楷體" w:eastAsia="標楷體" w:hAnsi="標楷體" w:hint="eastAsia"/>
          <w:sz w:val="32"/>
          <w:szCs w:val="32"/>
        </w:rPr>
        <w:t>學習要點</w:t>
      </w:r>
    </w:p>
    <w:p w:rsidR="00EF62B3" w:rsidRDefault="0090348F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113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/>
          <w:sz w:val="20"/>
          <w:szCs w:val="20"/>
        </w:rPr>
        <w:t>3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/>
          <w:sz w:val="20"/>
          <w:szCs w:val="20"/>
        </w:rPr>
        <w:t>14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日</w:t>
      </w:r>
      <w:r>
        <w:rPr>
          <w:rFonts w:ascii="Arial" w:eastAsia="標楷體" w:hAnsi="Arial" w:cs="Arial"/>
          <w:sz w:val="20"/>
          <w:szCs w:val="20"/>
        </w:rPr>
        <w:t>112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學年度第</w:t>
      </w:r>
      <w:r>
        <w:rPr>
          <w:rFonts w:ascii="Arial" w:eastAsia="標楷體" w:hAnsi="Arial" w:cs="Arial"/>
          <w:sz w:val="20"/>
          <w:szCs w:val="20"/>
        </w:rPr>
        <w:t>4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次教務會議修正第</w:t>
      </w:r>
      <w:r>
        <w:rPr>
          <w:rFonts w:ascii="Arial" w:eastAsia="標楷體" w:hAnsi="Arial" w:cs="Arial"/>
          <w:sz w:val="20"/>
          <w:szCs w:val="20"/>
        </w:rPr>
        <w:t>3</w:t>
      </w:r>
      <w:r w:rsidR="00EF62B3" w:rsidRPr="00EF62B3">
        <w:rPr>
          <w:rFonts w:ascii="Arial" w:eastAsia="標楷體" w:hAnsi="Arial" w:cs="Arial" w:hint="eastAsia"/>
          <w:sz w:val="20"/>
          <w:szCs w:val="20"/>
        </w:rPr>
        <w:t>點</w:t>
      </w:r>
    </w:p>
    <w:p w:rsidR="009A578D" w:rsidRPr="009A578D" w:rsidRDefault="009A578D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>
        <w:rPr>
          <w:rFonts w:ascii="Arial" w:eastAsia="標楷體" w:hAnsi="Arial" w:cs="Arial"/>
          <w:sz w:val="20"/>
          <w:szCs w:val="20"/>
        </w:rPr>
        <w:t>113</w:t>
      </w:r>
      <w:r>
        <w:rPr>
          <w:rFonts w:ascii="Arial" w:eastAsia="標楷體" w:hAnsi="Arial" w:cs="Arial" w:hint="eastAsia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3</w:t>
      </w:r>
      <w:r>
        <w:rPr>
          <w:rFonts w:ascii="Arial" w:eastAsia="標楷體" w:hAnsi="Arial" w:cs="Arial" w:hint="eastAsia"/>
          <w:sz w:val="20"/>
          <w:szCs w:val="20"/>
        </w:rPr>
        <w:t>月</w:t>
      </w:r>
      <w:r>
        <w:rPr>
          <w:rFonts w:ascii="Arial" w:eastAsia="標楷體" w:hAnsi="Arial" w:cs="Arial" w:hint="eastAsia"/>
          <w:sz w:val="20"/>
          <w:szCs w:val="20"/>
        </w:rPr>
        <w:t>2</w:t>
      </w:r>
      <w:r>
        <w:rPr>
          <w:rFonts w:ascii="Arial" w:eastAsia="標楷體" w:hAnsi="Arial" w:cs="Arial"/>
          <w:sz w:val="20"/>
          <w:szCs w:val="20"/>
        </w:rPr>
        <w:t>7</w:t>
      </w:r>
      <w:r>
        <w:rPr>
          <w:rFonts w:ascii="Arial" w:eastAsia="標楷體" w:hAnsi="Arial" w:cs="Arial" w:hint="eastAsia"/>
          <w:sz w:val="20"/>
          <w:szCs w:val="20"/>
        </w:rPr>
        <w:t>日校長核定</w:t>
      </w:r>
    </w:p>
    <w:p w:rsidR="00574CEC" w:rsidRPr="00BD7DD8" w:rsidRDefault="00574CEC" w:rsidP="006D0A1C">
      <w:pPr>
        <w:pStyle w:val="Default"/>
        <w:spacing w:line="240" w:lineRule="exact"/>
        <w:ind w:right="-58"/>
        <w:jc w:val="right"/>
        <w:rPr>
          <w:rFonts w:ascii="Arial" w:eastAsia="標楷體" w:hAnsi="Arial" w:cs="Arial"/>
          <w:sz w:val="20"/>
          <w:szCs w:val="20"/>
        </w:rPr>
      </w:pPr>
      <w:r w:rsidRPr="00574CEC">
        <w:rPr>
          <w:rFonts w:ascii="Arial" w:eastAsia="標楷體" w:hAnsi="Arial" w:cs="Arial" w:hint="eastAsia"/>
          <w:sz w:val="20"/>
          <w:szCs w:val="20"/>
        </w:rPr>
        <w:t>【完整修正歷程詳條文末】</w:t>
      </w:r>
    </w:p>
    <w:p w:rsidR="00AA144B" w:rsidRPr="00AA144B" w:rsidRDefault="00AA144B" w:rsidP="006D0A1C">
      <w:pPr>
        <w:pStyle w:val="Default"/>
        <w:spacing w:beforeLines="50" w:before="180" w:after="90"/>
        <w:ind w:left="522" w:hanging="52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C01D66" w:rsidRDefault="00AA144B" w:rsidP="00CB4AEE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三、申請跨領域學習之學生</w:t>
      </w:r>
      <w:r w:rsidR="00CB4AEE" w:rsidRPr="00C01D66">
        <w:rPr>
          <w:rFonts w:ascii="標楷體" w:eastAsia="標楷體" w:hAnsi="標楷體" w:hint="eastAsia"/>
          <w:sz w:val="23"/>
          <w:szCs w:val="23"/>
        </w:rPr>
        <w:t>(</w:t>
      </w:r>
      <w:proofErr w:type="gramStart"/>
      <w:r w:rsidR="00CB4AEE" w:rsidRPr="00C01D66">
        <w:rPr>
          <w:rFonts w:ascii="標楷體" w:eastAsia="標楷體" w:hAnsi="標楷體" w:hint="eastAsia"/>
          <w:sz w:val="23"/>
          <w:szCs w:val="23"/>
        </w:rPr>
        <w:t>不含院學士</w:t>
      </w:r>
      <w:proofErr w:type="gramEnd"/>
      <w:r w:rsidR="00CB4AEE" w:rsidRPr="00C01D66">
        <w:rPr>
          <w:rFonts w:ascii="標楷體" w:eastAsia="標楷體" w:hAnsi="標楷體" w:hint="eastAsia"/>
          <w:sz w:val="23"/>
          <w:szCs w:val="23"/>
        </w:rPr>
        <w:t>班學生)</w:t>
      </w:r>
      <w:r w:rsidRPr="00C01D66">
        <w:rPr>
          <w:rFonts w:ascii="標楷體" w:eastAsia="標楷體" w:hAnsi="標楷體" w:hint="eastAsia"/>
          <w:sz w:val="23"/>
          <w:szCs w:val="23"/>
        </w:rPr>
        <w:t>，可就以下任一種課程組合提出申請：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C01D66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C01D66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（三）</w:t>
      </w:r>
      <w:r w:rsidRPr="00C01D66">
        <w:rPr>
          <w:rFonts w:ascii="標楷體" w:eastAsia="標楷體" w:hAnsi="標楷體"/>
          <w:sz w:val="23"/>
          <w:szCs w:val="23"/>
        </w:rPr>
        <w:t xml:space="preserve"> </w:t>
      </w:r>
      <w:r w:rsidRPr="00C01D66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C01D66">
        <w:rPr>
          <w:rFonts w:ascii="標楷體" w:eastAsia="標楷體" w:hAnsi="標楷體" w:cs="Times New Roman"/>
          <w:sz w:val="23"/>
          <w:szCs w:val="23"/>
        </w:rPr>
        <w:t>15</w:t>
      </w:r>
      <w:r w:rsidRPr="00C01D66">
        <w:rPr>
          <w:rFonts w:ascii="標楷體" w:eastAsia="標楷體" w:hAnsi="標楷體" w:hint="eastAsia"/>
          <w:sz w:val="23"/>
          <w:szCs w:val="23"/>
        </w:rPr>
        <w:t>學分並另加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CB4AEE" w:rsidRPr="00C01D66" w:rsidRDefault="00CB4AEE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/>
          <w:sz w:val="23"/>
          <w:szCs w:val="23"/>
        </w:rPr>
        <w:t>院學士班學生申請</w:t>
      </w:r>
      <w:r w:rsidRPr="00C01D66">
        <w:rPr>
          <w:rFonts w:ascii="標楷體" w:eastAsia="標楷體" w:hAnsi="標楷體" w:hint="eastAsia"/>
          <w:sz w:val="23"/>
          <w:szCs w:val="23"/>
        </w:rPr>
        <w:t>跨領域學習時，只得就前項</w:t>
      </w:r>
      <w:r w:rsidRPr="00EF62B3">
        <w:rPr>
          <w:rFonts w:ascii="標楷體" w:eastAsia="標楷體" w:hAnsi="標楷體" w:hint="eastAsia"/>
          <w:color w:val="000000" w:themeColor="text1"/>
          <w:sz w:val="23"/>
          <w:szCs w:val="23"/>
        </w:rPr>
        <w:t>第三款</w:t>
      </w:r>
      <w:r w:rsidRPr="00C01D66">
        <w:rPr>
          <w:rFonts w:ascii="標楷體" w:eastAsia="標楷體" w:hAnsi="標楷體" w:hint="eastAsia"/>
          <w:sz w:val="23"/>
          <w:szCs w:val="23"/>
        </w:rPr>
        <w:t>課程組合提出申請。</w:t>
      </w:r>
      <w:r w:rsidR="009137FD">
        <w:rPr>
          <w:rStyle w:val="a9"/>
          <w:rFonts w:ascii="標楷體" w:eastAsia="標楷體" w:hAnsi="標楷體"/>
          <w:sz w:val="23"/>
          <w:szCs w:val="23"/>
        </w:rPr>
        <w:footnoteReference w:id="1"/>
      </w:r>
    </w:p>
    <w:p w:rsidR="00AA144B" w:rsidRPr="00C01D66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列明擬修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讀之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科目課號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、名稱、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學分數經所屬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系主任簽章，向清華學院學士班登記申請。</w:t>
      </w:r>
    </w:p>
    <w:p w:rsid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為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統整跨領域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知識，修讀學生得自主選擇校內教師為指導教授，修習專題研究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年。</w:t>
      </w:r>
    </w:p>
    <w:p w:rsidR="00EF62B3" w:rsidRPr="00EF62B3" w:rsidRDefault="00B257D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color w:val="FF0000"/>
          <w:sz w:val="23"/>
          <w:szCs w:val="23"/>
          <w:u w:val="single"/>
        </w:rPr>
      </w:pPr>
      <w:r>
        <w:rPr>
          <w:rFonts w:ascii="標楷體" w:eastAsia="標楷體" w:hAnsi="標楷體" w:hint="eastAsia"/>
          <w:color w:val="FF0000"/>
          <w:u w:val="single"/>
        </w:rPr>
        <w:t>獲教育部核准</w:t>
      </w:r>
      <w:r w:rsidR="00EF62B3" w:rsidRPr="00EF62B3">
        <w:rPr>
          <w:rFonts w:ascii="標楷體" w:eastAsia="標楷體" w:hAnsi="標楷體"/>
          <w:color w:val="FF0000"/>
          <w:u w:val="single"/>
        </w:rPr>
        <w:t>「學籍分組」</w:t>
      </w:r>
      <w:r>
        <w:rPr>
          <w:rFonts w:ascii="標楷體" w:eastAsia="標楷體" w:hAnsi="標楷體" w:hint="eastAsia"/>
          <w:color w:val="FF0000"/>
          <w:u w:val="single"/>
        </w:rPr>
        <w:t>之學系</w:t>
      </w:r>
      <w:r w:rsidR="00EF62B3" w:rsidRPr="00EF62B3">
        <w:rPr>
          <w:rFonts w:ascii="標楷體" w:eastAsia="標楷體" w:hAnsi="標楷體"/>
          <w:color w:val="FF0000"/>
          <w:u w:val="single"/>
        </w:rPr>
        <w:t>，已分別訂有各學籍分組</w:t>
      </w:r>
      <w:r w:rsidR="00EF62B3">
        <w:rPr>
          <w:rFonts w:ascii="標楷體" w:eastAsia="標楷體" w:hAnsi="標楷體" w:hint="eastAsia"/>
          <w:color w:val="FF0000"/>
          <w:u w:val="single"/>
        </w:rPr>
        <w:t>所屬之</w:t>
      </w:r>
      <w:r>
        <w:rPr>
          <w:rFonts w:ascii="標楷體" w:eastAsia="標楷體" w:hAnsi="標楷體" w:hint="eastAsia"/>
          <w:color w:val="FF0000"/>
          <w:u w:val="single"/>
        </w:rPr>
        <w:t>第</w:t>
      </w:r>
      <w:r w:rsidR="00EF62B3" w:rsidRPr="00EF62B3">
        <w:rPr>
          <w:rFonts w:ascii="標楷體" w:eastAsia="標楷體" w:hAnsi="標楷體"/>
          <w:color w:val="FF0000"/>
          <w:u w:val="single"/>
        </w:rPr>
        <w:t>一專</w:t>
      </w:r>
      <w:r>
        <w:rPr>
          <w:rFonts w:ascii="標楷體" w:eastAsia="標楷體" w:hAnsi="標楷體" w:hint="eastAsia"/>
          <w:color w:val="FF0000"/>
          <w:u w:val="single"/>
        </w:rPr>
        <w:t>長學程</w:t>
      </w:r>
      <w:r w:rsidR="00EF62B3" w:rsidRPr="00EF62B3">
        <w:rPr>
          <w:rFonts w:ascii="標楷體" w:eastAsia="標楷體" w:hAnsi="標楷體"/>
          <w:color w:val="FF0000"/>
          <w:u w:val="single"/>
        </w:rPr>
        <w:t>及</w:t>
      </w:r>
      <w:r>
        <w:rPr>
          <w:rFonts w:ascii="標楷體" w:eastAsia="標楷體" w:hAnsi="標楷體" w:hint="eastAsia"/>
          <w:color w:val="FF0000"/>
          <w:u w:val="single"/>
        </w:rPr>
        <w:t>第</w:t>
      </w:r>
      <w:r w:rsidR="00EF62B3" w:rsidRPr="00EF62B3">
        <w:rPr>
          <w:rFonts w:ascii="標楷體" w:eastAsia="標楷體" w:hAnsi="標楷體"/>
          <w:color w:val="FF0000"/>
          <w:u w:val="single"/>
        </w:rPr>
        <w:t>二專</w:t>
      </w:r>
      <w:r>
        <w:rPr>
          <w:rFonts w:ascii="標楷體" w:eastAsia="標楷體" w:hAnsi="標楷體" w:hint="eastAsia"/>
          <w:color w:val="FF0000"/>
          <w:u w:val="single"/>
        </w:rPr>
        <w:t>長學程</w:t>
      </w:r>
      <w:r w:rsidR="00EF62B3" w:rsidRPr="00EF62B3">
        <w:rPr>
          <w:rFonts w:ascii="標楷體" w:eastAsia="標楷體" w:hAnsi="標楷體"/>
          <w:color w:val="FF0000"/>
          <w:u w:val="single"/>
        </w:rPr>
        <w:t>者，</w:t>
      </w:r>
      <w:r w:rsidR="00EF62B3">
        <w:rPr>
          <w:rFonts w:ascii="標楷體" w:eastAsia="標楷體" w:hAnsi="標楷體" w:hint="eastAsia"/>
          <w:color w:val="FF0000"/>
          <w:u w:val="single"/>
        </w:rPr>
        <w:t>可</w:t>
      </w:r>
      <w:r>
        <w:rPr>
          <w:rFonts w:ascii="標楷體" w:eastAsia="標楷體" w:hAnsi="標楷體" w:hint="eastAsia"/>
          <w:color w:val="FF0000"/>
          <w:u w:val="single"/>
        </w:rPr>
        <w:t>視同為不同學系</w:t>
      </w:r>
      <w:r>
        <w:rPr>
          <w:rFonts w:ascii="新細明體" w:eastAsia="新細明體" w:hAnsi="新細明體" w:hint="eastAsia"/>
          <w:color w:val="FF0000"/>
          <w:u w:val="single"/>
        </w:rPr>
        <w:t>，</w:t>
      </w:r>
      <w:r w:rsidR="00EF62B3" w:rsidRPr="00EF62B3">
        <w:rPr>
          <w:rFonts w:ascii="標楷體" w:eastAsia="標楷體" w:hAnsi="標楷體"/>
          <w:color w:val="FF0000"/>
          <w:u w:val="single"/>
        </w:rPr>
        <w:t>準用第三點第一項第一款</w:t>
      </w:r>
      <w:r w:rsidR="00EF62B3" w:rsidRPr="00B257DB">
        <w:rPr>
          <w:rFonts w:ascii="標楷體" w:eastAsia="標楷體" w:hAnsi="標楷體" w:hint="eastAsia"/>
          <w:color w:val="FF0000"/>
          <w:u w:val="single"/>
        </w:rPr>
        <w:t>，</w:t>
      </w:r>
      <w:r w:rsidR="00EF62B3">
        <w:rPr>
          <w:rFonts w:ascii="標楷體" w:eastAsia="標楷體" w:hAnsi="標楷體" w:hint="eastAsia"/>
          <w:color w:val="FF0000"/>
          <w:u w:val="single"/>
        </w:rPr>
        <w:t>學生可選所屬學籍分組的第一專長學程及另加</w:t>
      </w:r>
      <w:r>
        <w:rPr>
          <w:rFonts w:ascii="標楷體" w:eastAsia="標楷體" w:hAnsi="標楷體" w:hint="eastAsia"/>
          <w:color w:val="FF0000"/>
          <w:u w:val="single"/>
        </w:rPr>
        <w:t>另一組的第二專長學程</w:t>
      </w:r>
      <w:r>
        <w:rPr>
          <w:rFonts w:ascii="新細明體" w:eastAsia="新細明體" w:hAnsi="新細明體" w:hint="eastAsia"/>
          <w:color w:val="FF0000"/>
          <w:u w:val="single"/>
        </w:rPr>
        <w:t>。</w:t>
      </w:r>
    </w:p>
    <w:p w:rsidR="00AA144B" w:rsidRPr="00934D84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color w:val="000000" w:themeColor="text1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四、跨領域學習學生，畢業時需修足</w:t>
      </w:r>
      <w:proofErr w:type="gramStart"/>
      <w:r w:rsidRPr="00EF7B87">
        <w:rPr>
          <w:rFonts w:ascii="標楷體" w:eastAsia="標楷體" w:hAnsi="標楷體" w:hint="eastAsia"/>
          <w:color w:val="000000" w:themeColor="text1"/>
          <w:sz w:val="23"/>
          <w:szCs w:val="23"/>
        </w:rPr>
        <w:t>校定</w:t>
      </w:r>
      <w:proofErr w:type="gramEnd"/>
      <w:r w:rsidR="00934D84" w:rsidRPr="00EF7B87">
        <w:rPr>
          <w:rFonts w:ascii="標楷體" w:eastAsia="標楷體" w:hAnsi="標楷體" w:hint="eastAsia"/>
          <w:color w:val="000000" w:themeColor="text1"/>
          <w:sz w:val="23"/>
          <w:szCs w:val="23"/>
        </w:rPr>
        <w:t>、院定、基礎必修</w:t>
      </w:r>
      <w:r w:rsidRPr="00C01D66">
        <w:rPr>
          <w:rFonts w:ascii="標楷體" w:eastAsia="標楷體" w:hAnsi="標楷體" w:hint="eastAsia"/>
          <w:sz w:val="23"/>
          <w:szCs w:val="23"/>
        </w:rPr>
        <w:t>及第三點第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一</w:t>
      </w:r>
      <w:proofErr w:type="gramEnd"/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至第</w:t>
      </w:r>
      <w:r w:rsidRPr="00C01D66">
        <w:rPr>
          <w:rFonts w:ascii="標楷體" w:eastAsia="標楷體" w:hAnsi="標楷體" w:cs="Times New Roman"/>
          <w:sz w:val="23"/>
          <w:szCs w:val="23"/>
        </w:rPr>
        <w:t>(</w:t>
      </w:r>
      <w:r w:rsidRPr="00C01D66">
        <w:rPr>
          <w:rFonts w:ascii="標楷體" w:eastAsia="標楷體" w:hAnsi="標楷體" w:hint="eastAsia"/>
          <w:sz w:val="23"/>
          <w:szCs w:val="23"/>
        </w:rPr>
        <w:t>三</w:t>
      </w:r>
      <w:r w:rsidRPr="00C01D66">
        <w:rPr>
          <w:rFonts w:ascii="標楷體" w:eastAsia="標楷體" w:hAnsi="標楷體" w:cs="Times New Roman"/>
          <w:sz w:val="23"/>
          <w:szCs w:val="23"/>
        </w:rPr>
        <w:t>)</w:t>
      </w:r>
      <w:r w:rsidRPr="00C01D66">
        <w:rPr>
          <w:rFonts w:ascii="標楷體" w:eastAsia="標楷體" w:hAnsi="標楷體" w:hint="eastAsia"/>
          <w:sz w:val="23"/>
          <w:szCs w:val="23"/>
        </w:rPr>
        <w:t>款課程組合任</w:t>
      </w:r>
      <w:r w:rsidRPr="00C01D66">
        <w:rPr>
          <w:rFonts w:ascii="標楷體" w:eastAsia="標楷體" w:hAnsi="標楷體" w:cs="Times New Roman"/>
          <w:sz w:val="23"/>
          <w:szCs w:val="23"/>
        </w:rPr>
        <w:t>1</w:t>
      </w:r>
      <w:r w:rsidRPr="00C01D66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C01D66">
        <w:rPr>
          <w:rFonts w:ascii="標楷體" w:eastAsia="標楷體" w:hAnsi="標楷體" w:cs="Times New Roman"/>
          <w:sz w:val="23"/>
          <w:szCs w:val="23"/>
        </w:rPr>
        <w:t>128</w:t>
      </w:r>
      <w:r w:rsidRPr="00C01D66">
        <w:rPr>
          <w:rFonts w:ascii="標楷體" w:eastAsia="標楷體" w:hAnsi="標楷體" w:hint="eastAsia"/>
          <w:sz w:val="23"/>
          <w:szCs w:val="23"/>
        </w:rPr>
        <w:t>學分。</w:t>
      </w:r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若修讀</w:t>
      </w:r>
      <w:proofErr w:type="gramStart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認之學分學程課程與另一學分學程、專長學程或高階專業課程重複，學分數僅可</w:t>
      </w:r>
      <w:proofErr w:type="gramStart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="0003083E" w:rsidRPr="00934D84">
        <w:rPr>
          <w:rFonts w:ascii="標楷體" w:eastAsia="標楷體" w:hAnsi="標楷體" w:hint="eastAsia"/>
          <w:color w:val="000000" w:themeColor="text1"/>
          <w:sz w:val="23"/>
          <w:szCs w:val="23"/>
        </w:rPr>
        <w:t>計一次。</w:t>
      </w:r>
    </w:p>
    <w:p w:rsidR="00AA144B" w:rsidRPr="00C01D66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修足應修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科目及學分數時，應填寫放棄修讀申請表並向清華學院學士班申請；其已修及格之科目，由學生所屬學系認定得否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採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計為應修之畢業學分。</w:t>
      </w:r>
    </w:p>
    <w:p w:rsidR="00AA144B" w:rsidRPr="00C01D66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lastRenderedPageBreak/>
        <w:t>六、跨領域學習學生，經延長修業年限</w:t>
      </w:r>
      <w:r w:rsidRPr="00C01D66">
        <w:rPr>
          <w:rFonts w:ascii="標楷體" w:eastAsia="標楷體" w:hAnsi="標楷體" w:cs="Times New Roman"/>
          <w:sz w:val="23"/>
          <w:szCs w:val="23"/>
        </w:rPr>
        <w:t>2</w:t>
      </w:r>
      <w:r w:rsidRPr="00C01D66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C01D66">
        <w:rPr>
          <w:rFonts w:ascii="標楷體" w:eastAsia="標楷體" w:hAnsi="標楷體" w:hint="eastAsia"/>
          <w:sz w:val="23"/>
          <w:szCs w:val="23"/>
        </w:rPr>
        <w:t>七、</w:t>
      </w:r>
      <w:proofErr w:type="gramStart"/>
      <w:r w:rsidRPr="00C01D66">
        <w:rPr>
          <w:rFonts w:ascii="標楷體" w:eastAsia="標楷體" w:hAnsi="標楷體" w:hint="eastAsia"/>
          <w:sz w:val="23"/>
          <w:szCs w:val="23"/>
        </w:rPr>
        <w:t>修讀跨領域</w:t>
      </w:r>
      <w:proofErr w:type="gramEnd"/>
      <w:r w:rsidRPr="00C01D66">
        <w:rPr>
          <w:rFonts w:ascii="標楷體" w:eastAsia="標楷體" w:hAnsi="標楷體" w:hint="eastAsia"/>
          <w:sz w:val="23"/>
          <w:szCs w:val="23"/>
        </w:rPr>
        <w:t>學</w:t>
      </w:r>
      <w:r w:rsidRPr="00AA144B">
        <w:rPr>
          <w:rFonts w:ascii="標楷體" w:eastAsia="標楷體" w:hAnsi="標楷體" w:hint="eastAsia"/>
          <w:sz w:val="23"/>
          <w:szCs w:val="23"/>
        </w:rPr>
        <w:t>習學生畢業，發給學位證書，並依照學生所屬學院授予學士學位，另畢業名冊、學位證書、學位證明書、歷年成績表等，均登載專長或學分學程名稱。</w:t>
      </w:r>
    </w:p>
    <w:p w:rsidR="002E6489" w:rsidRDefault="00AA144B" w:rsidP="00AA144B">
      <w:pPr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</w:p>
    <w:p w:rsidR="00574CEC" w:rsidRDefault="00574CEC" w:rsidP="00AA144B">
      <w:pPr>
        <w:rPr>
          <w:rFonts w:ascii="標楷體" w:eastAsia="標楷體" w:hAnsi="標楷體"/>
          <w:sz w:val="23"/>
          <w:szCs w:val="23"/>
        </w:rPr>
      </w:pPr>
    </w:p>
    <w:p w:rsidR="00574CEC" w:rsidRPr="00574CEC" w:rsidRDefault="00574CEC" w:rsidP="00574CEC">
      <w:pPr>
        <w:suppressAutoHyphens/>
        <w:overflowPunct w:val="0"/>
        <w:autoSpaceDE w:val="0"/>
        <w:autoSpaceDN w:val="0"/>
        <w:snapToGrid w:val="0"/>
        <w:spacing w:before="120"/>
        <w:ind w:left="1559" w:hanging="1559"/>
        <w:jc w:val="both"/>
        <w:textAlignment w:val="center"/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/>
          <w:color w:val="000000"/>
          <w:sz w:val="22"/>
        </w:rPr>
        <w:t>【完整修正歷程】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105年7月6日104學年度第6次教務會議通過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105年7月15日校長核定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109年6月18日108學年度第4次教務會議修正第4點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109年6月29日校長核定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109年10月22日109學年度第1次教務會議修正第3點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109年11月3日校長核定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110年6月10、17、28日109學年度第5次教務會議修正第4點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110年7月13日校長核定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110年10月21日110學年度第1次教務會議修正第4點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110年11月9日校長核定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111年6月2日110學年度第4次教務會議修正第3點</w:t>
      </w:r>
    </w:p>
    <w:p w:rsidR="00574CEC" w:rsidRPr="00574CEC" w:rsidRDefault="00574CEC" w:rsidP="00574CEC">
      <w:pPr>
        <w:rPr>
          <w:rFonts w:ascii="標楷體" w:eastAsia="標楷體" w:hAnsi="標楷體"/>
          <w:sz w:val="22"/>
        </w:rPr>
      </w:pPr>
      <w:r w:rsidRPr="00574CEC">
        <w:rPr>
          <w:rFonts w:ascii="標楷體" w:eastAsia="標楷體" w:hAnsi="標楷體" w:hint="eastAsia"/>
          <w:sz w:val="22"/>
        </w:rPr>
        <w:t>111年6月30日校長核定</w:t>
      </w:r>
    </w:p>
    <w:sectPr w:rsidR="00574CEC" w:rsidRPr="00574CEC">
      <w:footnotePr>
        <w:pos w:val="beneathText"/>
        <w:numFmt w:val="chicago"/>
      </w:foot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A7" w:rsidRDefault="00014CA7" w:rsidP="004C248E">
      <w:r>
        <w:separator/>
      </w:r>
    </w:p>
  </w:endnote>
  <w:endnote w:type="continuationSeparator" w:id="0">
    <w:p w:rsidR="00014CA7" w:rsidRDefault="00014CA7" w:rsidP="004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A7" w:rsidRDefault="00014CA7" w:rsidP="004C248E">
      <w:r>
        <w:separator/>
      </w:r>
    </w:p>
  </w:footnote>
  <w:footnote w:type="continuationSeparator" w:id="0">
    <w:p w:rsidR="00014CA7" w:rsidRDefault="00014CA7" w:rsidP="004C248E">
      <w:r>
        <w:continuationSeparator/>
      </w:r>
    </w:p>
  </w:footnote>
  <w:footnote w:id="1">
    <w:p w:rsidR="009137FD" w:rsidRPr="00EF62B3" w:rsidRDefault="009137FD" w:rsidP="009137FD">
      <w:pPr>
        <w:widowControl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EF62B3">
        <w:rPr>
          <w:rStyle w:val="a9"/>
          <w:rFonts w:ascii="新細明體" w:eastAsia="新細明體" w:hAnsi="新細明體" w:hint="eastAsia"/>
          <w:color w:val="000000" w:themeColor="text1"/>
          <w:sz w:val="20"/>
          <w:szCs w:val="20"/>
        </w:rPr>
        <w:t>✽</w:t>
      </w:r>
      <w:r w:rsidRPr="00EF62B3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110學年度(含)前入學之院學士班學生若需申請第二款時</w:t>
      </w:r>
      <w:r w:rsidRPr="00EF62B3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，</w:t>
      </w:r>
      <w:r w:rsidRPr="00EF62B3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仍應依舊法向清華學院學士班申請</w:t>
      </w:r>
      <w:r w:rsidRPr="00EF62B3">
        <w:rPr>
          <w:rFonts w:ascii="新細明體" w:eastAsia="新細明體" w:hAnsi="新細明體" w:cs="新細明體" w:hint="eastAsia"/>
          <w:color w:val="000000" w:themeColor="text1"/>
          <w:kern w:val="0"/>
          <w:sz w:val="20"/>
          <w:szCs w:val="20"/>
        </w:rPr>
        <w:t>。</w:t>
      </w:r>
    </w:p>
    <w:p w:rsidR="009137FD" w:rsidRPr="002C67BA" w:rsidRDefault="009137FD" w:rsidP="009137FD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B"/>
    <w:rsid w:val="00014CA7"/>
    <w:rsid w:val="0003083E"/>
    <w:rsid w:val="000A7E0D"/>
    <w:rsid w:val="000E17C1"/>
    <w:rsid w:val="001366E4"/>
    <w:rsid w:val="001761AF"/>
    <w:rsid w:val="002224A9"/>
    <w:rsid w:val="002C67BA"/>
    <w:rsid w:val="00336E3C"/>
    <w:rsid w:val="00336F86"/>
    <w:rsid w:val="00415395"/>
    <w:rsid w:val="00467FC7"/>
    <w:rsid w:val="004A2472"/>
    <w:rsid w:val="004C248E"/>
    <w:rsid w:val="00514C7F"/>
    <w:rsid w:val="00574CEC"/>
    <w:rsid w:val="00625495"/>
    <w:rsid w:val="00631ADF"/>
    <w:rsid w:val="00633E09"/>
    <w:rsid w:val="006A29CE"/>
    <w:rsid w:val="006D0A1C"/>
    <w:rsid w:val="00805227"/>
    <w:rsid w:val="00836B31"/>
    <w:rsid w:val="00864FD1"/>
    <w:rsid w:val="008A4303"/>
    <w:rsid w:val="008E20F3"/>
    <w:rsid w:val="0090348F"/>
    <w:rsid w:val="009137FD"/>
    <w:rsid w:val="00934D84"/>
    <w:rsid w:val="009A578D"/>
    <w:rsid w:val="009F054A"/>
    <w:rsid w:val="00A03E62"/>
    <w:rsid w:val="00AA144B"/>
    <w:rsid w:val="00AA3CAE"/>
    <w:rsid w:val="00AC6551"/>
    <w:rsid w:val="00AD13B2"/>
    <w:rsid w:val="00B072BF"/>
    <w:rsid w:val="00B12EE8"/>
    <w:rsid w:val="00B257DB"/>
    <w:rsid w:val="00B60B47"/>
    <w:rsid w:val="00B81EDC"/>
    <w:rsid w:val="00BD1726"/>
    <w:rsid w:val="00BD7DD8"/>
    <w:rsid w:val="00BE6AAE"/>
    <w:rsid w:val="00C01D66"/>
    <w:rsid w:val="00C01E38"/>
    <w:rsid w:val="00C41ED7"/>
    <w:rsid w:val="00C97DFF"/>
    <w:rsid w:val="00CB4AEE"/>
    <w:rsid w:val="00D01585"/>
    <w:rsid w:val="00D137DC"/>
    <w:rsid w:val="00D15392"/>
    <w:rsid w:val="00DA28DD"/>
    <w:rsid w:val="00DA450A"/>
    <w:rsid w:val="00E012E7"/>
    <w:rsid w:val="00EF62B3"/>
    <w:rsid w:val="00EF7B87"/>
    <w:rsid w:val="00F27F71"/>
    <w:rsid w:val="00F63EC5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27E7A1-297C-47C0-8E1D-F7CF5795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2C67BA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2C67B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7B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36F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F86"/>
  </w:style>
  <w:style w:type="character" w:customStyle="1" w:styleId="ac">
    <w:name w:val="註解文字 字元"/>
    <w:basedOn w:val="a0"/>
    <w:link w:val="ab"/>
    <w:uiPriority w:val="99"/>
    <w:semiHidden/>
    <w:rsid w:val="00336F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F8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36F8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36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010A-547B-4035-A03D-40EFA7A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644</Characters>
  <Application>Microsoft Office Word</Application>
  <DocSecurity>0</DocSecurity>
  <Lines>28</Lines>
  <Paragraphs>32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Registra</cp:lastModifiedBy>
  <cp:revision>2</cp:revision>
  <dcterms:created xsi:type="dcterms:W3CDTF">2024-03-28T03:11:00Z</dcterms:created>
  <dcterms:modified xsi:type="dcterms:W3CDTF">2024-03-28T03:11:00Z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10373a7f0e7e3a80d00541c039e0334d0c14148879685d7143f886c46b32668e</vt:lpwstr>
  </property>
</Properties>
</file>